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9F" w:rsidRPr="0068379F" w:rsidRDefault="0068379F" w:rsidP="0068379F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val="uk-UA" w:eastAsia="ru-RU"/>
        </w:rPr>
      </w:pP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Концепція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Державної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Ц</w:t>
      </w:r>
      <w:proofErr w:type="gram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ільової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соціальної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програми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підвищення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якості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природничо-математичної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>освіти</w:t>
      </w:r>
      <w:proofErr w:type="spellEnd"/>
      <w:r w:rsidRPr="0068379F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ru-RU"/>
        </w:rPr>
        <w:t xml:space="preserve"> до 2015 року</w:t>
      </w:r>
    </w:p>
    <w:p w:rsidR="0068379F" w:rsidRDefault="0068379F" w:rsidP="0068379F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val="uk-UA" w:eastAsia="ru-RU"/>
        </w:rPr>
      </w:pPr>
    </w:p>
    <w:p w:rsidR="0068379F" w:rsidRP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b/>
          <w:bCs/>
          <w:color w:val="000000"/>
          <w:sz w:val="18"/>
          <w:szCs w:val="18"/>
          <w:lang w:val="uk-UA"/>
        </w:rPr>
      </w:pPr>
    </w:p>
    <w:p w:rsidR="0068379F" w:rsidRP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  <w:lang w:val="uk-UA"/>
        </w:rPr>
      </w:pPr>
      <w:r w:rsidRPr="0068379F">
        <w:rPr>
          <w:rFonts w:ascii="Arial" w:hAnsi="Arial" w:cs="Arial"/>
          <w:b/>
          <w:bCs/>
          <w:color w:val="000000"/>
          <w:sz w:val="18"/>
          <w:szCs w:val="18"/>
          <w:lang w:val="uk-UA"/>
        </w:rPr>
        <w:t>Про схвалення Концепції Державної цільової соціальної програми підвищення якості шкільної природничо-математичної освіти на період до 2015 року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Розпорядження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КМУ № 1720-р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27.08.10 року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КАБІНЕТ 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 УКРАЇНИ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РОЗПОРЯДЖЕННЯ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№ 1720-р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серпня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2010 року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Концепції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цільової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2015 року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Схвалити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Концепцію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цільової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2015 року,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додається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Визначити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Міністерство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замовником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Міністерству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науки разом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заінтересованими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центральними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органами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розробити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подати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тримісячний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строк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проект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цільової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соціальної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2015 року.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Прем’єр-міні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М. АЗАРОВ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СХВАЛЕНО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розпорядженням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Міні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27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серпня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2010 р. № 1720-р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КОНЦЕПЦІЯ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цільової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2015 року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Визначення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спрямована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Програма</w:t>
      </w:r>
      <w:proofErr w:type="spellEnd"/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Поліпшення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зокрема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необхідною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умовою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конкурентоспроможності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економіки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Розвиток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системи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потребує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оновлення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технологій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прискореного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впровадження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технологій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швидкої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адаптації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економічних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технологічних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умовах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становлення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високотехнологічного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виникає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необхідність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пріоритетності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включення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планів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усіх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рівнів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поліпшення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Фундаментальна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одним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основних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факторів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особистості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потребує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оновлення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урахуванням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запитів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потреб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науки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виробництва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запровадження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сучасних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методів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поліпшення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навчально-методичної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літератури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удосконалення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механізмів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оцінювання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результатів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потребує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підготовка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система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вчителів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Отримання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якісної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однією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найважливіших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гарантій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громадянами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інтелектуального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потенціалу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вирішальним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фактором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утвердження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справедливості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стабільності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Аналіз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причин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виникнення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обґрунтування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необхідності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методом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Причинами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виникнення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є: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недосконалість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внаслідок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невизначеності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іоритетних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напрямів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перевантаження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фактологічним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другорядним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матеріалом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низька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окремих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підручників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незадовільний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матеріально-технічного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загальноосвітніх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закладів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На початок 2009/10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року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становив 29,3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відсотка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потреби,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лабораторним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обладнанням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фізики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біології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хімії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- 10-15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відсотків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негативно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впливало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лабораторно-практичних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робіт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дотримання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вимог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державного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освітнього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стандарту;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учителі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традиційно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орієнтовані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запам’ятовування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учнями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певних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абстрактних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алгоритмів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не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організацію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пошукової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самостійності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мислення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компетенцій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4-х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8-х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класів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міжнародних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порівняльних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досл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ідженнях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підтверджують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нездатність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українських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школярів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використовувати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набуті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вміння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ситуаціях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повсякденного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життя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недоліки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зберігаються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закінчення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школи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ідчать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аналізу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випускниками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завдань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зовнішнього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незалежного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оцінювання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недостатній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педагогічних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кадрів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значна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частина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пенсійного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або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передпенсійного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недосконалість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системи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відбору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професійної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низький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рівень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мотивації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молоді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вибору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професії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педагога,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низький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відсоток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випускників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вищих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педагогічних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закладів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працюють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фахом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внаслідок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невисокого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заробітної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плати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невирішеності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соціально-побутових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роботи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можливе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умови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об’єднання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зусиль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виконавчої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влади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шляхом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розроблення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цільової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соц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період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2015 року.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Мета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Метою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розроблення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механізму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ійкого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його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застосування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практиці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Визначення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оптимального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варіанта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основі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порівняльного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аналізу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можливих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варіанті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Можливі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варіанти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Перший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варіант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передбачає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вирішення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порушених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органів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управління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без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підтримки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боку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дасть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змоги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проблему комплексно.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Другий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оптимальний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варіант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передбачає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розроблення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комплексу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взаємозв’язаних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завдань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заходів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ресурсною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ідтримкою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забезпечить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послідовність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системність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вирішенні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питань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стійкого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сприятиме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поліпшенню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Шляхи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способи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проблеми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строк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Проблему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передбачається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розв’язати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шляхом: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внесення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істотних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 державного стандарту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базової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повної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середньої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урахуванням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переходу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загальноосвітніх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закладів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нового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стандартизації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змісту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старшій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школі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івня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вивчення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збалансованості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співвідношення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суспільно-гуманітарної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оздоровчо-технологічної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складових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середньої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удосконалення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налагодження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видавництва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методичної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науково-популярної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довідкової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літератури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створення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інформаційно-методичних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комплексів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електронні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пос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ібники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віртуальні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лабораторії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електронні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знань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портали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тощо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умов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використання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школі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проведення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моніторингу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ізних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рівнях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забезпечення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участі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України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відповідних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міжнародних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порівняльних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дослідженнях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розроблення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державних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стандартів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нового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переліку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обладнання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біології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хімії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фізики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математики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оснащення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зазначених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кабінетів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сучасним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обладнанням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налагодження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виробництва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ітчизняного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обладнання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дидактичних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засобів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модернізації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системи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психолого-педагогічної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методичної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практичної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майбутніх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вчителів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педагогічних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кадрів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застосування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підходу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навчально-виховного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процесу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передбачає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особистості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спрямований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активне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конструктивне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входження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сучасні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суспільні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процеси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досягнення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високого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рівня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самореалізації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вчителів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предметів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впровадження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процес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сучасних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інформаційно-комунікативних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технологій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Програму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передбачається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виконувати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протягом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2011-2015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рокі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Очікувані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результати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визначення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ефективності</w:t>
      </w:r>
      <w:proofErr w:type="spellEnd"/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сприятиме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поліпшенню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якості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шкільної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застосуванню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механізму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її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ійкого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формуванню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інтересу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учнівської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молоді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природничо-математичних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наук;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зміцненню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навчально-методичної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матеріально-технічної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бази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загальноосвітніх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навчальних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закладів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модернізації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системи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підготовки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підвищення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кваліфікації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педагогічних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кадрів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збереженню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зміцненню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здоров’я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учнівської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молоді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наукових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досл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іджень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галузі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математики,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фізики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хімії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біології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подальшому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сприятиме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інноваційної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економіки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основі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інтеграції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освітньої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наукової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виробничої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діяльності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Оцінка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фінансових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матеріально-технічних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ресурсів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необхідних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Фінансування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здійснюватиметься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рахунок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коштів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державного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місцевих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бюджетів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інших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джерел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Для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виконання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Програми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може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залучатися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також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міжнародна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технічна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фінансова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допомога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8379F" w:rsidRDefault="0068379F" w:rsidP="0068379F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Обсяги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фінансування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уточнюватимуться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щороку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урахуванням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реальних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можливостей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державного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бюджету.</w:t>
      </w:r>
    </w:p>
    <w:p w:rsidR="00F404EE" w:rsidRDefault="00F404EE"/>
    <w:sectPr w:rsidR="00F404EE" w:rsidSect="00F4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379F"/>
    <w:rsid w:val="0068379F"/>
    <w:rsid w:val="00974CB1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E"/>
  </w:style>
  <w:style w:type="paragraph" w:styleId="1">
    <w:name w:val="heading 1"/>
    <w:basedOn w:val="a"/>
    <w:link w:val="10"/>
    <w:uiPriority w:val="9"/>
    <w:qFormat/>
    <w:rsid w:val="0068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7601</Characters>
  <Application>Microsoft Office Word</Application>
  <DocSecurity>0</DocSecurity>
  <Lines>63</Lines>
  <Paragraphs>17</Paragraphs>
  <ScaleCrop>false</ScaleCrop>
  <Company>Home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2013-07-22T06:31:00Z</dcterms:created>
  <dcterms:modified xsi:type="dcterms:W3CDTF">2013-07-22T06:35:00Z</dcterms:modified>
</cp:coreProperties>
</file>